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F46" w:rsidRDefault="00842F46" w:rsidP="00842F46">
      <w:pPr>
        <w:jc w:val="center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</w:t>
      </w:r>
      <w:r>
        <w:rPr>
          <w:noProof/>
          <w:lang w:val="ru-RU" w:eastAsia="ru-RU" w:bidi="ar-SA"/>
        </w:rPr>
        <w:drawing>
          <wp:inline distT="0" distB="0" distL="0" distR="0">
            <wp:extent cx="517525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sz w:val="28"/>
          <w:szCs w:val="28"/>
          <w:lang w:val="ru-RU"/>
        </w:rPr>
        <w:t xml:space="preserve">                                </w:t>
      </w:r>
      <w:r>
        <w:rPr>
          <w:color w:val="FF0000"/>
          <w:sz w:val="36"/>
          <w:szCs w:val="36"/>
          <w:lang w:val="ru-RU"/>
        </w:rPr>
        <w:t xml:space="preserve">  </w:t>
      </w:r>
      <w:r>
        <w:rPr>
          <w:color w:val="FF0000"/>
          <w:sz w:val="28"/>
          <w:szCs w:val="28"/>
          <w:lang w:val="ru-RU"/>
        </w:rPr>
        <w:t xml:space="preserve">         </w:t>
      </w:r>
    </w:p>
    <w:p w:rsidR="00842F46" w:rsidRDefault="00842F46" w:rsidP="00842F46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42F46" w:rsidRDefault="00842F46" w:rsidP="00842F46">
      <w:pPr>
        <w:pStyle w:val="2"/>
        <w:pBdr>
          <w:bottom w:val="single" w:sz="12" w:space="1" w:color="000000"/>
        </w:pBdr>
        <w:spacing w:before="0" w:after="0"/>
        <w:jc w:val="center"/>
      </w:pPr>
      <w:r>
        <w:rPr>
          <w:rFonts w:ascii="Times New Roman" w:hAnsi="Times New Roman"/>
          <w:i w:val="0"/>
        </w:rPr>
        <w:t>КИЇВСЬКОЇ ОБЛАСТІ</w:t>
      </w:r>
    </w:p>
    <w:p w:rsidR="00842F46" w:rsidRDefault="00842F46" w:rsidP="00842F46">
      <w:pPr>
        <w:shd w:val="clear" w:color="auto" w:fill="FFFFFF"/>
        <w:jc w:val="center"/>
        <w:rPr>
          <w:sz w:val="20"/>
          <w:szCs w:val="20"/>
        </w:rPr>
      </w:pPr>
      <w:r>
        <w:rPr>
          <w:rFonts w:cs="Times New Roman"/>
          <w:b/>
          <w:sz w:val="28"/>
          <w:szCs w:val="28"/>
        </w:rPr>
        <w:t xml:space="preserve">П'ЯТДЕСЯТ ДЕВ'ЯТА СЕСІЯ СЬОМОГО СКЛИКАННЯ </w:t>
      </w:r>
    </w:p>
    <w:p w:rsidR="00842F46" w:rsidRDefault="00842F46" w:rsidP="00842F46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42F46" w:rsidRDefault="00842F46" w:rsidP="00842F4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42F46" w:rsidRDefault="00842F46" w:rsidP="00842F46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42F46" w:rsidRDefault="00842F46" w:rsidP="00842F46">
      <w:pPr>
        <w:pStyle w:val="1"/>
        <w:spacing w:before="0" w:after="0"/>
        <w:rPr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«30» травня 2019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№ 3459- 59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842F46" w:rsidRDefault="00842F46" w:rsidP="00842F46">
      <w:pPr>
        <w:keepNext/>
        <w:spacing w:line="100" w:lineRule="atLeast"/>
        <w:rPr>
          <w:rFonts w:eastAsia="Times New Roman" w:cs="Times New Roman"/>
          <w:b/>
          <w:bCs/>
          <w:iCs/>
          <w:sz w:val="26"/>
          <w:szCs w:val="26"/>
        </w:rPr>
      </w:pPr>
    </w:p>
    <w:p w:rsidR="00842F46" w:rsidRDefault="00842F46" w:rsidP="00842F46">
      <w:pPr>
        <w:keepNext/>
        <w:spacing w:before="100" w:line="100" w:lineRule="atLeast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Про списання з балансу </w:t>
      </w:r>
    </w:p>
    <w:p w:rsidR="00842F46" w:rsidRDefault="00842F46" w:rsidP="00842F46">
      <w:pPr>
        <w:spacing w:before="100" w:line="100" w:lineRule="atLeast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 КП “ Бучанське УЖКГ”</w:t>
      </w:r>
    </w:p>
    <w:p w:rsidR="00842F46" w:rsidRDefault="00842F46" w:rsidP="00842F46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необоротних активів</w:t>
      </w:r>
    </w:p>
    <w:p w:rsidR="00842F46" w:rsidRDefault="00842F46" w:rsidP="00842F46">
      <w:pPr>
        <w:spacing w:before="100" w:line="100" w:lineRule="atLeast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</w:p>
    <w:p w:rsidR="00842F46" w:rsidRDefault="00842F46" w:rsidP="00842F46">
      <w:pPr>
        <w:spacing w:line="100" w:lineRule="atLeast"/>
        <w:ind w:firstLine="708"/>
        <w:jc w:val="both"/>
        <w:rPr>
          <w:rFonts w:eastAsia="Times New Roman" w:cs="Times New Roman"/>
          <w:b/>
          <w:bCs/>
        </w:rPr>
      </w:pP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Розглянувши подання начальника комунального підприємства «Бучанське управління  житлово-комунального господарства” Бучанської міської ради Кравчука В.Д. , щодо непридатності до подальшого використання  необоротних активів (Світлофорний об'єкт (Нове-Шосе + Польова), згідно вимог Закону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</w:t>
      </w:r>
      <w:proofErr w:type="spellStart"/>
      <w:r>
        <w:rPr>
          <w:rFonts w:eastAsia="Times New Roman" w:cs="Times New Roman"/>
          <w:bCs/>
          <w:iCs/>
          <w:color w:val="454A48"/>
          <w:sz w:val="26"/>
          <w:szCs w:val="26"/>
        </w:rPr>
        <w:t>засоби»,враховуючи</w:t>
      </w:r>
      <w:proofErr w:type="spellEnd"/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пропозиції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  <w:r>
        <w:rPr>
          <w:rFonts w:eastAsia="Times New Roman" w:cs="Times New Roman"/>
          <w:bCs/>
          <w:iCs/>
          <w:sz w:val="26"/>
          <w:szCs w:val="26"/>
        </w:rPr>
        <w:t xml:space="preserve"> </w:t>
      </w:r>
    </w:p>
    <w:p w:rsidR="00842F46" w:rsidRDefault="00842F46" w:rsidP="00842F46">
      <w:pPr>
        <w:spacing w:line="288" w:lineRule="auto"/>
        <w:jc w:val="both"/>
        <w:rPr>
          <w:rFonts w:eastAsia="Times New Roman" w:cs="Times New Roman"/>
          <w:b/>
          <w:bCs/>
        </w:rPr>
      </w:pPr>
    </w:p>
    <w:p w:rsidR="00842F46" w:rsidRDefault="00842F46" w:rsidP="00842F46">
      <w:pPr>
        <w:spacing w:line="288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  <w:r>
        <w:rPr>
          <w:rFonts w:eastAsia="Times New Roman" w:cs="Times New Roman"/>
          <w:sz w:val="26"/>
          <w:szCs w:val="26"/>
        </w:rPr>
        <w:t xml:space="preserve">  </w:t>
      </w:r>
      <w:r>
        <w:rPr>
          <w:rFonts w:eastAsia="Times New Roman" w:cs="Times New Roman"/>
          <w:color w:val="454A48"/>
          <w:sz w:val="26"/>
          <w:szCs w:val="26"/>
        </w:rPr>
        <w:br/>
        <w:t xml:space="preserve">  </w:t>
      </w:r>
    </w:p>
    <w:p w:rsidR="00842F46" w:rsidRDefault="00842F46" w:rsidP="00842F46">
      <w:pPr>
        <w:spacing w:line="100" w:lineRule="atLeast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   1.Дозволити  списання з балансу КП</w:t>
      </w: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«Бучанського управління  житлово-комунального господарства” Бучанської міської ради необоротні активи (Світлофорний об'єкт (Нове-Шосе + Польова), </w:t>
      </w:r>
      <w:r>
        <w:rPr>
          <w:rFonts w:eastAsia="Times New Roman" w:cs="Times New Roman"/>
          <w:color w:val="454A48"/>
          <w:sz w:val="26"/>
          <w:szCs w:val="26"/>
        </w:rPr>
        <w:t xml:space="preserve">що непридатний до подальшого використання, відновлювальний ремонт їх неможливий або </w:t>
      </w:r>
      <w:proofErr w:type="spellStart"/>
      <w:r>
        <w:rPr>
          <w:rFonts w:eastAsia="Times New Roman" w:cs="Times New Roman"/>
          <w:color w:val="454A48"/>
          <w:sz w:val="26"/>
          <w:szCs w:val="26"/>
        </w:rPr>
        <w:t>недоцільний,згідно</w:t>
      </w:r>
      <w:proofErr w:type="spellEnd"/>
      <w:r>
        <w:rPr>
          <w:rFonts w:eastAsia="Times New Roman" w:cs="Times New Roman"/>
          <w:color w:val="454A48"/>
          <w:sz w:val="26"/>
          <w:szCs w:val="26"/>
        </w:rPr>
        <w:t xml:space="preserve"> додатку.</w:t>
      </w:r>
    </w:p>
    <w:p w:rsidR="00842F46" w:rsidRDefault="00842F46" w:rsidP="00842F46">
      <w:pPr>
        <w:spacing w:line="100" w:lineRule="atLeast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  2.Бучанському міському голові затвердити відповідні акти про списання майна. </w:t>
      </w:r>
    </w:p>
    <w:p w:rsidR="00842F46" w:rsidRDefault="00842F46" w:rsidP="00842F46">
      <w:pPr>
        <w:pStyle w:val="a0"/>
        <w:widowControl/>
        <w:spacing w:after="300" w:line="100" w:lineRule="atLeast"/>
        <w:jc w:val="both"/>
        <w:rPr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  3.</w:t>
      </w:r>
      <w:r>
        <w:rPr>
          <w:color w:val="454A48"/>
          <w:sz w:val="26"/>
          <w:szCs w:val="26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42F46" w:rsidRDefault="00842F46" w:rsidP="00842F46">
      <w:pPr>
        <w:pStyle w:val="a0"/>
        <w:widowControl/>
        <w:spacing w:after="300" w:line="360" w:lineRule="auto"/>
        <w:rPr>
          <w:rFonts w:eastAsia="Times New Roman" w:cs="Times New Roman"/>
          <w:b/>
          <w:bCs/>
          <w:sz w:val="26"/>
          <w:szCs w:val="26"/>
        </w:rPr>
      </w:pPr>
      <w:r>
        <w:rPr>
          <w:color w:val="454A48"/>
          <w:sz w:val="26"/>
          <w:szCs w:val="26"/>
        </w:rPr>
        <w:t> </w:t>
      </w:r>
    </w:p>
    <w:p w:rsidR="00842F46" w:rsidRDefault="00842F46" w:rsidP="00842F46">
      <w:pPr>
        <w:pStyle w:val="a0"/>
        <w:widowControl/>
        <w:spacing w:after="300" w:line="360" w:lineRule="auto"/>
        <w:rPr>
          <w:rFonts w:eastAsia="Times New Roman" w:cs="Times New Roman"/>
        </w:rPr>
      </w:pPr>
      <w:r>
        <w:rPr>
          <w:rFonts w:eastAsia="Times New Roman" w:cs="Times New Roman"/>
          <w:b/>
          <w:bCs/>
          <w:sz w:val="26"/>
          <w:szCs w:val="26"/>
        </w:rPr>
        <w:t>Міський голова                                                                  А.П.Федорук</w:t>
      </w:r>
      <w:r>
        <w:rPr>
          <w:rFonts w:eastAsia="Times New Roman" w:cs="Times New Roman"/>
          <w:b/>
          <w:bCs/>
        </w:rPr>
        <w:t xml:space="preserve">  </w:t>
      </w:r>
    </w:p>
    <w:p w:rsidR="00842F46" w:rsidRDefault="00842F46" w:rsidP="00842F46">
      <w:pPr>
        <w:pStyle w:val="a0"/>
        <w:widowControl/>
        <w:spacing w:after="300" w:line="360" w:lineRule="auto"/>
        <w:ind w:left="-709"/>
        <w:jc w:val="right"/>
        <w:rPr>
          <w:rFonts w:eastAsia="Times New Roman" w:cs="Times New Roman"/>
        </w:rPr>
      </w:pPr>
    </w:p>
    <w:p w:rsidR="00842F46" w:rsidRDefault="00842F46" w:rsidP="00842F46">
      <w:pPr>
        <w:pStyle w:val="a0"/>
        <w:widowControl/>
        <w:spacing w:after="300" w:line="360" w:lineRule="auto"/>
        <w:ind w:left="-709"/>
        <w:jc w:val="right"/>
        <w:rPr>
          <w:rFonts w:eastAsia="Times New Roman" w:cs="Times New Roman"/>
        </w:rPr>
      </w:pPr>
    </w:p>
    <w:p w:rsidR="00842F46" w:rsidRDefault="00842F46" w:rsidP="00842F46">
      <w:pPr>
        <w:pStyle w:val="NoSpacing"/>
        <w:widowControl w:val="0"/>
        <w:spacing w:before="30" w:line="206" w:lineRule="exact"/>
        <w:ind w:left="4815" w:right="615"/>
        <w:jc w:val="both"/>
        <w:rPr>
          <w:rFonts w:eastAsia="Calibri" w:cs="Times New Roman"/>
          <w:color w:val="000000"/>
          <w:sz w:val="26"/>
          <w:szCs w:val="26"/>
          <w:lang w:val="uk-UA"/>
        </w:rPr>
      </w:pPr>
      <w:r>
        <w:rPr>
          <w:rFonts w:eastAsia="Calibri" w:cs="Times New Roman"/>
          <w:color w:val="000000"/>
          <w:sz w:val="26"/>
          <w:szCs w:val="26"/>
          <w:lang w:val="uk-UA"/>
        </w:rPr>
        <w:t xml:space="preserve">         Додаток</w:t>
      </w:r>
    </w:p>
    <w:p w:rsidR="00842F46" w:rsidRDefault="00842F46" w:rsidP="00842F46">
      <w:pPr>
        <w:pStyle w:val="NoSpacing"/>
        <w:widowControl w:val="0"/>
        <w:spacing w:before="30" w:line="206" w:lineRule="exact"/>
        <w:ind w:left="4815" w:right="615"/>
        <w:jc w:val="both"/>
        <w:rPr>
          <w:rFonts w:eastAsia="Calibri" w:cs="Times New Roman"/>
          <w:color w:val="000000"/>
          <w:sz w:val="26"/>
          <w:szCs w:val="26"/>
          <w:lang w:val="uk-UA"/>
        </w:rPr>
      </w:pPr>
      <w:r>
        <w:rPr>
          <w:rFonts w:eastAsia="Calibri" w:cs="Times New Roman"/>
          <w:color w:val="000000"/>
          <w:sz w:val="26"/>
          <w:szCs w:val="26"/>
          <w:lang w:val="uk-UA"/>
        </w:rPr>
        <w:t xml:space="preserve">        до рішення сесії Бучанської</w:t>
      </w:r>
    </w:p>
    <w:p w:rsidR="00842F46" w:rsidRDefault="00842F46" w:rsidP="00842F46">
      <w:pPr>
        <w:pStyle w:val="NoSpacing"/>
        <w:widowControl w:val="0"/>
        <w:spacing w:before="30" w:line="206" w:lineRule="exact"/>
        <w:ind w:left="4815" w:right="615"/>
        <w:jc w:val="both"/>
        <w:rPr>
          <w:rFonts w:eastAsia="Calibri" w:cs="Times New Roman"/>
          <w:color w:val="000000"/>
          <w:sz w:val="26"/>
          <w:szCs w:val="26"/>
          <w:lang w:val="uk-UA"/>
        </w:rPr>
      </w:pPr>
      <w:r>
        <w:rPr>
          <w:rFonts w:eastAsia="Calibri" w:cs="Times New Roman"/>
          <w:color w:val="000000"/>
          <w:sz w:val="26"/>
          <w:szCs w:val="26"/>
          <w:lang w:val="uk-UA"/>
        </w:rPr>
        <w:t xml:space="preserve">        міської ради №3459-59-VІІ</w:t>
      </w:r>
    </w:p>
    <w:p w:rsidR="00842F46" w:rsidRDefault="00842F46" w:rsidP="00842F46">
      <w:pPr>
        <w:pStyle w:val="NoSpacing"/>
        <w:widowControl w:val="0"/>
        <w:spacing w:before="30" w:line="206" w:lineRule="exact"/>
        <w:ind w:left="4815" w:right="615"/>
        <w:jc w:val="both"/>
        <w:rPr>
          <w:rFonts w:eastAsia="Calibri" w:cs="Times New Roman"/>
          <w:color w:val="000000"/>
          <w:sz w:val="26"/>
          <w:szCs w:val="26"/>
          <w:lang w:val="uk-UA"/>
        </w:rPr>
      </w:pPr>
      <w:r>
        <w:rPr>
          <w:rFonts w:eastAsia="Calibri" w:cs="Times New Roman"/>
          <w:color w:val="000000"/>
          <w:sz w:val="26"/>
          <w:szCs w:val="26"/>
          <w:lang w:val="uk-UA"/>
        </w:rPr>
        <w:t xml:space="preserve">        від 30 травня 2019 року</w:t>
      </w:r>
    </w:p>
    <w:p w:rsidR="00842F46" w:rsidRDefault="00842F46" w:rsidP="00842F46">
      <w:pPr>
        <w:pStyle w:val="NoSpacing"/>
        <w:widowControl w:val="0"/>
        <w:spacing w:before="30" w:line="206" w:lineRule="exact"/>
        <w:ind w:left="4815" w:right="615"/>
        <w:jc w:val="both"/>
        <w:rPr>
          <w:rFonts w:eastAsia="Calibri" w:cs="Times New Roman"/>
          <w:color w:val="000000"/>
          <w:sz w:val="26"/>
          <w:szCs w:val="26"/>
          <w:lang w:val="uk-UA"/>
        </w:rPr>
      </w:pPr>
    </w:p>
    <w:p w:rsidR="00842F46" w:rsidRDefault="00842F46" w:rsidP="00842F46">
      <w:pPr>
        <w:pStyle w:val="NoSpacing"/>
        <w:widowControl w:val="0"/>
        <w:spacing w:before="30" w:line="206" w:lineRule="exact"/>
        <w:ind w:left="15"/>
        <w:jc w:val="both"/>
        <w:rPr>
          <w:rFonts w:eastAsia="Calibri" w:cs="Times New Roman"/>
          <w:color w:val="000000"/>
          <w:sz w:val="26"/>
          <w:szCs w:val="26"/>
          <w:lang w:val="uk-UA"/>
        </w:rPr>
      </w:pPr>
    </w:p>
    <w:p w:rsidR="00842F46" w:rsidRDefault="00842F46" w:rsidP="00842F46">
      <w:pPr>
        <w:tabs>
          <w:tab w:val="left" w:pos="5941"/>
        </w:tabs>
        <w:spacing w:line="288" w:lineRule="auto"/>
        <w:ind w:left="1559" w:hanging="1559"/>
        <w:jc w:val="right"/>
        <w:rPr>
          <w:rFonts w:eastAsia="Times New Roman" w:cs="Times New Roman"/>
          <w:sz w:val="26"/>
          <w:szCs w:val="26"/>
        </w:rPr>
      </w:pPr>
    </w:p>
    <w:p w:rsidR="00842F46" w:rsidRDefault="00842F46" w:rsidP="00842F46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перелік необоротних активів КП “ Бучанське УЖКГ”, що підлягають списанню</w:t>
      </w:r>
    </w:p>
    <w:p w:rsidR="00842F46" w:rsidRDefault="00842F46" w:rsidP="00842F46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p w:rsidR="00842F46" w:rsidRDefault="00842F46" w:rsidP="00842F46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p w:rsidR="00842F46" w:rsidRDefault="00842F46" w:rsidP="00842F46">
      <w:pPr>
        <w:spacing w:line="288" w:lineRule="auto"/>
        <w:jc w:val="center"/>
        <w:rPr>
          <w:rFonts w:eastAsia="Times New Roman" w:cs="Times New Roman"/>
          <w:b/>
          <w:bCs/>
          <w:iCs/>
        </w:rPr>
      </w:pPr>
    </w:p>
    <w:tbl>
      <w:tblPr>
        <w:tblW w:w="0" w:type="auto"/>
        <w:tblInd w:w="-117" w:type="dxa"/>
        <w:tblLayout w:type="fixed"/>
        <w:tblLook w:val="0000" w:firstRow="0" w:lastRow="0" w:firstColumn="0" w:lastColumn="0" w:noHBand="0" w:noVBand="0"/>
      </w:tblPr>
      <w:tblGrid>
        <w:gridCol w:w="530"/>
        <w:gridCol w:w="3187"/>
        <w:gridCol w:w="1153"/>
        <w:gridCol w:w="1213"/>
        <w:gridCol w:w="991"/>
        <w:gridCol w:w="2714"/>
      </w:tblGrid>
      <w:tr w:rsidR="00842F46" w:rsidTr="00507554"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№ </w:t>
            </w:r>
          </w:p>
          <w:p w:rsidR="00842F46" w:rsidRDefault="00842F46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з/п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Найменування об`єкта</w:t>
            </w:r>
          </w:p>
          <w:p w:rsidR="00842F46" w:rsidRDefault="00842F46" w:rsidP="00507554">
            <w:pPr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</w:rPr>
              <w:t>необоротних активів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rPr>
                <w:rFonts w:eastAsia="Times New Roman" w:cs="Times New Roman"/>
                <w:b/>
                <w:sz w:val="21"/>
                <w:szCs w:val="21"/>
              </w:rPr>
            </w:pPr>
            <w:r>
              <w:rPr>
                <w:b/>
                <w:bCs/>
                <w:sz w:val="20"/>
                <w:szCs w:val="20"/>
              </w:rPr>
              <w:t>Інвентарний номер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  <w:sz w:val="21"/>
                <w:szCs w:val="21"/>
              </w:rPr>
              <w:t>Одиниця виміру</w:t>
            </w:r>
            <w:r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jc w:val="center"/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 xml:space="preserve">Кількість 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jc w:val="center"/>
            </w:pPr>
            <w:r>
              <w:rPr>
                <w:rFonts w:eastAsia="Times New Roman" w:cs="Times New Roman"/>
                <w:b/>
              </w:rPr>
              <w:t>Залишкова вартість</w:t>
            </w:r>
          </w:p>
        </w:tc>
      </w:tr>
      <w:tr w:rsidR="00842F46" w:rsidTr="00507554">
        <w:trPr>
          <w:trHeight w:val="28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jc w:val="center"/>
              <w:rPr>
                <w:rFonts w:eastAsia="Calibri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2F46" w:rsidRDefault="00842F46" w:rsidP="00507554">
            <w:pPr>
              <w:pStyle w:val="NoSpacing"/>
              <w:widowControl w:val="0"/>
              <w:spacing w:before="30" w:line="206" w:lineRule="exact"/>
              <w:ind w:left="15"/>
              <w:jc w:val="both"/>
              <w:rPr>
                <w:rFonts w:eastAsia="Times New Roman" w:cs="Times New Roman"/>
                <w:lang w:val="uk-UA"/>
              </w:rPr>
            </w:pPr>
            <w:r>
              <w:rPr>
                <w:rFonts w:eastAsia="Calibri" w:cs="Times New Roman"/>
                <w:color w:val="000000"/>
                <w:sz w:val="22"/>
                <w:szCs w:val="22"/>
                <w:lang w:val="uk-UA"/>
              </w:rPr>
              <w:t>Світлофорний об'єкт ( Нове — Шосе + Польова)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jc w:val="both"/>
              <w:rPr>
                <w:rFonts w:eastAsia="Times New Roman" w:cs="Times New Roman"/>
              </w:rPr>
            </w:pPr>
          </w:p>
          <w:p w:rsidR="00842F46" w:rsidRDefault="00842F46" w:rsidP="00507554">
            <w:pPr>
              <w:spacing w:line="100" w:lineRule="atLeast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111313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line="100" w:lineRule="atLeast"/>
              <w:jc w:val="center"/>
              <w:rPr>
                <w:rFonts w:eastAsia="Times New Roman" w:cs="Times New Roman"/>
              </w:rPr>
            </w:pPr>
          </w:p>
          <w:p w:rsidR="00842F46" w:rsidRDefault="00842F46" w:rsidP="00507554">
            <w:pPr>
              <w:spacing w:line="100" w:lineRule="atLeast"/>
              <w:jc w:val="center"/>
              <w:rPr>
                <w:rFonts w:eastAsia="Times New Roman" w:cs="Times New Roman"/>
                <w:sz w:val="22"/>
                <w:szCs w:val="22"/>
              </w:rPr>
            </w:pPr>
            <w:proofErr w:type="spellStart"/>
            <w:r>
              <w:rPr>
                <w:rFonts w:eastAsia="Times New Roman" w:cs="Times New Roman"/>
              </w:rPr>
              <w:t>шт</w:t>
            </w:r>
            <w:proofErr w:type="spellEnd"/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  <w:p w:rsidR="00842F46" w:rsidRDefault="00842F46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  <w:r>
              <w:rPr>
                <w:rFonts w:eastAsia="Times New Roman" w:cs="Times New Roman"/>
                <w:sz w:val="22"/>
                <w:szCs w:val="22"/>
                <w:lang w:val="uk-UA"/>
              </w:rPr>
              <w:t>1</w:t>
            </w:r>
          </w:p>
          <w:p w:rsidR="00842F46" w:rsidRDefault="00842F46" w:rsidP="00507554">
            <w:pPr>
              <w:pStyle w:val="NoSpacing"/>
              <w:jc w:val="center"/>
              <w:rPr>
                <w:rFonts w:eastAsia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F46" w:rsidRDefault="00842F46" w:rsidP="00507554">
            <w:pPr>
              <w:spacing w:before="30" w:line="206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</w:p>
          <w:p w:rsidR="00842F46" w:rsidRDefault="00842F46" w:rsidP="00507554">
            <w:pPr>
              <w:spacing w:before="30" w:line="206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>15 625,34</w:t>
            </w:r>
          </w:p>
        </w:tc>
      </w:tr>
    </w:tbl>
    <w:p w:rsidR="00842F46" w:rsidRDefault="00842F46" w:rsidP="00842F46">
      <w:pPr>
        <w:spacing w:line="288" w:lineRule="auto"/>
        <w:jc w:val="center"/>
        <w:rPr>
          <w:rFonts w:eastAsia="Times New Roman" w:cs="Times New Roman"/>
          <w:b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line="100" w:lineRule="atLeast"/>
        <w:ind w:left="360"/>
        <w:jc w:val="center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tabs>
          <w:tab w:val="left" w:pos="7770"/>
        </w:tabs>
        <w:spacing w:line="100" w:lineRule="atLeast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tabs>
          <w:tab w:val="left" w:pos="7770"/>
        </w:tabs>
        <w:spacing w:line="100" w:lineRule="atLeast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tabs>
          <w:tab w:val="left" w:pos="7770"/>
        </w:tabs>
        <w:spacing w:line="100" w:lineRule="atLeast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tabs>
          <w:tab w:val="left" w:pos="7770"/>
        </w:tabs>
        <w:spacing w:line="100" w:lineRule="atLeast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tabs>
          <w:tab w:val="left" w:pos="7770"/>
        </w:tabs>
        <w:spacing w:line="100" w:lineRule="atLeast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tabs>
          <w:tab w:val="left" w:pos="7770"/>
        </w:tabs>
        <w:spacing w:line="100" w:lineRule="atLeast"/>
        <w:rPr>
          <w:rFonts w:eastAsia="Times New Roman" w:cs="Times New Roman"/>
          <w:b/>
          <w:sz w:val="26"/>
          <w:szCs w:val="26"/>
        </w:rPr>
      </w:pPr>
    </w:p>
    <w:p w:rsidR="00842F46" w:rsidRDefault="00842F46" w:rsidP="00842F46">
      <w:pPr>
        <w:spacing w:before="100" w:line="200" w:lineRule="atLeast"/>
        <w:jc w:val="both"/>
        <w:rPr>
          <w:rFonts w:cs="Times New Roman"/>
          <w:b/>
          <w:bCs/>
          <w:sz w:val="26"/>
        </w:rPr>
      </w:pPr>
      <w:r>
        <w:rPr>
          <w:rFonts w:cs="Times New Roman"/>
          <w:b/>
          <w:bCs/>
          <w:sz w:val="26"/>
        </w:rPr>
        <w:t xml:space="preserve">      Секретар ради                                                                       </w:t>
      </w:r>
      <w:proofErr w:type="spellStart"/>
      <w:r>
        <w:rPr>
          <w:rFonts w:cs="Times New Roman"/>
          <w:b/>
          <w:bCs/>
          <w:sz w:val="26"/>
        </w:rPr>
        <w:t>В.П.Олексюк</w:t>
      </w:r>
      <w:proofErr w:type="spellEnd"/>
    </w:p>
    <w:p w:rsidR="00842F46" w:rsidRDefault="00842F46" w:rsidP="00842F46">
      <w:pPr>
        <w:spacing w:before="100" w:line="200" w:lineRule="atLeast"/>
        <w:jc w:val="both"/>
        <w:rPr>
          <w:rFonts w:eastAsia="Times New Roman" w:cs="Times New Roman"/>
          <w:sz w:val="26"/>
          <w:szCs w:val="26"/>
        </w:rPr>
      </w:pPr>
      <w:r>
        <w:rPr>
          <w:rFonts w:cs="Times New Roman"/>
          <w:b/>
          <w:bCs/>
          <w:sz w:val="26"/>
        </w:rPr>
        <w:t xml:space="preserve">   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8F"/>
    <w:rsid w:val="004D4E27"/>
    <w:rsid w:val="00687D71"/>
    <w:rsid w:val="00842F46"/>
    <w:rsid w:val="0097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F212CF-C18B-407D-9457-ACCA8942E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F4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1">
    <w:name w:val="heading 1"/>
    <w:basedOn w:val="a"/>
    <w:next w:val="a0"/>
    <w:link w:val="10"/>
    <w:qFormat/>
    <w:rsid w:val="00842F46"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0"/>
    <w:link w:val="20"/>
    <w:qFormat/>
    <w:rsid w:val="00842F46"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42F46"/>
    <w:rPr>
      <w:rFonts w:ascii="Cambria" w:eastAsia="Times New Roman" w:hAnsi="Cambria" w:cs="Times New Roman"/>
      <w:b/>
      <w:bCs/>
      <w:kern w:val="1"/>
      <w:sz w:val="32"/>
      <w:szCs w:val="32"/>
      <w:lang w:val="uk-UA" w:eastAsia="hi-IN" w:bidi="hi-IN"/>
    </w:rPr>
  </w:style>
  <w:style w:type="character" w:customStyle="1" w:styleId="20">
    <w:name w:val="Заголовок 2 Знак"/>
    <w:basedOn w:val="a1"/>
    <w:link w:val="2"/>
    <w:rsid w:val="00842F46"/>
    <w:rPr>
      <w:rFonts w:ascii="Cambria" w:eastAsia="Times New Roman" w:hAnsi="Cambria" w:cs="Times New Roman"/>
      <w:b/>
      <w:bCs/>
      <w:i/>
      <w:iCs/>
      <w:kern w:val="1"/>
      <w:sz w:val="28"/>
      <w:szCs w:val="28"/>
      <w:lang w:val="uk-UA" w:eastAsia="hi-IN" w:bidi="hi-IN"/>
    </w:rPr>
  </w:style>
  <w:style w:type="paragraph" w:styleId="a0">
    <w:name w:val="Body Text"/>
    <w:basedOn w:val="a"/>
    <w:link w:val="a4"/>
    <w:rsid w:val="00842F46"/>
    <w:pPr>
      <w:spacing w:after="120"/>
    </w:pPr>
  </w:style>
  <w:style w:type="character" w:customStyle="1" w:styleId="a4">
    <w:name w:val="Основной текст Знак"/>
    <w:basedOn w:val="a1"/>
    <w:link w:val="a0"/>
    <w:rsid w:val="00842F46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customStyle="1" w:styleId="a5">
    <w:name w:val="Знак"/>
    <w:basedOn w:val="a"/>
    <w:rsid w:val="00842F46"/>
    <w:pPr>
      <w:spacing w:line="100" w:lineRule="atLeas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NoSpacing">
    <w:name w:val="No Spacing"/>
    <w:rsid w:val="00842F46"/>
    <w:pPr>
      <w:suppressAutoHyphens/>
      <w:spacing w:after="0" w:line="100" w:lineRule="atLeast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2019-12-26T11:35:00Z</dcterms:created>
  <dcterms:modified xsi:type="dcterms:W3CDTF">2019-12-26T11:35:00Z</dcterms:modified>
</cp:coreProperties>
</file>